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855338" w:rsidP="4188800B" w:rsidRDefault="72855338" w14:paraId="0206E704" w14:textId="0DDD723D">
      <w:pPr>
        <w:jc w:val="center"/>
      </w:pPr>
      <w:r w:rsidRPr="4188800B" w:rsidR="72855338">
        <w:rPr>
          <w:rFonts w:ascii="Aptos" w:hAnsi="Aptos" w:eastAsia="Aptos" w:cs="Aptos"/>
          <w:b w:val="1"/>
          <w:bCs w:val="1"/>
          <w:i w:val="0"/>
          <w:iCs w:val="0"/>
          <w:caps w:val="0"/>
          <w:smallCaps w:val="0"/>
          <w:noProof w:val="0"/>
          <w:color w:val="000000" w:themeColor="text1" w:themeTint="FF" w:themeShade="FF"/>
          <w:sz w:val="24"/>
          <w:szCs w:val="24"/>
          <w:lang w:val="en-CA"/>
        </w:rPr>
        <w:t>ECCE APP CHALLENGE 2026</w:t>
      </w:r>
      <w:r w:rsidRPr="4188800B" w:rsidR="72855338">
        <w:rPr>
          <w:rFonts w:ascii="Aptos" w:hAnsi="Aptos" w:eastAsia="Aptos" w:cs="Aptos"/>
          <w:noProof w:val="0"/>
          <w:sz w:val="24"/>
          <w:szCs w:val="24"/>
          <w:lang w:val="en-CA"/>
        </w:rPr>
        <w:t xml:space="preserve"> </w:t>
      </w:r>
    </w:p>
    <w:p w:rsidR="72855338" w:rsidP="4188800B" w:rsidRDefault="72855338" w14:paraId="16534CC5" w14:textId="1D481A68">
      <w:pPr>
        <w:spacing w:before="0" w:beforeAutospacing="off" w:after="160" w:afterAutospacing="off" w:line="278" w:lineRule="auto"/>
        <w:ind w:left="0" w:right="0"/>
        <w:jc w:val="center"/>
        <w:rPr>
          <w:rFonts w:ascii="Aptos" w:hAnsi="Aptos" w:eastAsia="Aptos" w:cs="Aptos"/>
          <w:b w:val="1"/>
          <w:bCs w:val="1"/>
          <w:i w:val="0"/>
          <w:iCs w:val="0"/>
          <w:noProof w:val="0"/>
          <w:sz w:val="28"/>
          <w:szCs w:val="28"/>
          <w:lang w:val="en-CA"/>
        </w:rPr>
      </w:pPr>
      <w:r w:rsidRPr="4188800B" w:rsidR="72855338">
        <w:rPr>
          <w:rFonts w:ascii="Aptos" w:hAnsi="Aptos" w:eastAsia="Aptos" w:cs="Aptos"/>
          <w:b w:val="1"/>
          <w:bCs w:val="1"/>
          <w:i w:val="0"/>
          <w:iCs w:val="0"/>
          <w:noProof w:val="0"/>
          <w:sz w:val="28"/>
          <w:szCs w:val="28"/>
          <w:lang w:val="en-CA"/>
        </w:rPr>
        <w:t>Statement of Characteristics</w:t>
      </w:r>
    </w:p>
    <w:p w:rsidR="72855338" w:rsidP="4188800B" w:rsidRDefault="72855338" w14:paraId="22B36398" w14:textId="08FB7DE7">
      <w:pPr>
        <w:pStyle w:val="Normal"/>
        <w:spacing w:before="0" w:beforeAutospacing="off" w:after="160" w:afterAutospacing="off" w:line="278" w:lineRule="auto"/>
        <w:ind w:left="0" w:right="0"/>
        <w:jc w:val="left"/>
        <w:rPr>
          <w:rFonts w:ascii="Aptos" w:hAnsi="Aptos" w:eastAsia="Aptos" w:cs="Aptos"/>
          <w:noProof w:val="0"/>
          <w:sz w:val="24"/>
          <w:szCs w:val="24"/>
          <w:lang w:val="en-CA"/>
        </w:rPr>
      </w:pPr>
      <w:r w:rsidRPr="4188800B" w:rsidR="72855338">
        <w:rPr>
          <w:rFonts w:ascii="Aptos" w:hAnsi="Aptos" w:eastAsia="Aptos" w:cs="Aptos"/>
          <w:b w:val="1"/>
          <w:bCs w:val="1"/>
          <w:i w:val="0"/>
          <w:iCs w:val="0"/>
          <w:noProof w:val="0"/>
          <w:sz w:val="24"/>
          <w:szCs w:val="24"/>
          <w:lang w:val="en-CA"/>
        </w:rPr>
        <w:t xml:space="preserve">Group: </w:t>
      </w:r>
      <w:r w:rsidRPr="4188800B" w:rsidR="72855338">
        <w:rPr>
          <w:rFonts w:ascii="Aptos" w:hAnsi="Aptos" w:eastAsia="Aptos" w:cs="Aptos"/>
          <w:b w:val="0"/>
          <w:bCs w:val="0"/>
          <w:i w:val="0"/>
          <w:iCs w:val="0"/>
          <w:noProof w:val="0"/>
          <w:sz w:val="24"/>
          <w:szCs w:val="24"/>
          <w:lang w:val="en-CA"/>
        </w:rPr>
        <w:t>Emissions Impossible (</w:t>
      </w:r>
      <w:r w:rsidRPr="4188800B" w:rsidR="7285533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t>Savanna Yan, Leo Chaulk, Emily Klaassen)</w:t>
      </w:r>
    </w:p>
    <w:p w:rsidR="72855338" w:rsidP="4188800B" w:rsidRDefault="72855338" w14:paraId="2FC1A64B" w14:textId="6BCDEDDC">
      <w:pPr>
        <w:rPr>
          <w:rFonts w:ascii="Aptos" w:hAnsi="Aptos" w:eastAsia="Aptos" w:cs="Aptos"/>
          <w:b w:val="0"/>
          <w:bCs w:val="0"/>
          <w:i w:val="0"/>
          <w:iCs w:val="0"/>
          <w:caps w:val="0"/>
          <w:smallCaps w:val="0"/>
          <w:noProof w:val="0"/>
          <w:color w:val="000000" w:themeColor="text1" w:themeTint="FF" w:themeShade="FF"/>
          <w:sz w:val="24"/>
          <w:szCs w:val="24"/>
          <w:lang w:val="en-CA"/>
        </w:rPr>
      </w:pPr>
      <w:r w:rsidRPr="4188800B" w:rsidR="72855338">
        <w:rPr>
          <w:rFonts w:ascii="Aptos" w:hAnsi="Aptos" w:eastAsia="Aptos" w:cs="Aptos"/>
          <w:b w:val="1"/>
          <w:bCs w:val="1"/>
          <w:i w:val="0"/>
          <w:iCs w:val="0"/>
          <w:caps w:val="0"/>
          <w:smallCaps w:val="0"/>
          <w:noProof w:val="0"/>
          <w:color w:val="000000" w:themeColor="text1" w:themeTint="FF" w:themeShade="FF"/>
          <w:sz w:val="24"/>
          <w:szCs w:val="24"/>
          <w:lang w:val="en-CA"/>
        </w:rPr>
        <w:t xml:space="preserve">App: </w:t>
      </w:r>
      <w:r w:rsidRPr="4188800B" w:rsidR="72855338">
        <w:rPr>
          <w:rFonts w:ascii="Aptos" w:hAnsi="Aptos" w:eastAsia="Aptos" w:cs="Aptos"/>
          <w:b w:val="0"/>
          <w:bCs w:val="0"/>
          <w:i w:val="0"/>
          <w:iCs w:val="0"/>
          <w:caps w:val="0"/>
          <w:smallCaps w:val="0"/>
          <w:noProof w:val="0"/>
          <w:color w:val="000000" w:themeColor="text1" w:themeTint="FF" w:themeShade="FF"/>
          <w:sz w:val="24"/>
          <w:szCs w:val="24"/>
          <w:lang w:val="en-CA"/>
        </w:rPr>
        <w:t>Route to Change</w:t>
      </w:r>
    </w:p>
    <w:p w:rsidR="72855338" w:rsidP="4188800B" w:rsidRDefault="72855338" w14:paraId="6E09CEEC" w14:textId="5183A56D">
      <w:pPr>
        <w:rPr>
          <w:rFonts w:ascii="Aptos" w:hAnsi="Aptos" w:eastAsia="Aptos" w:cs="Aptos"/>
          <w:b w:val="0"/>
          <w:bCs w:val="0"/>
          <w:i w:val="0"/>
          <w:iCs w:val="0"/>
          <w:caps w:val="0"/>
          <w:smallCaps w:val="0"/>
          <w:noProof w:val="0"/>
          <w:color w:val="000000" w:themeColor="text1" w:themeTint="FF" w:themeShade="FF"/>
          <w:sz w:val="24"/>
          <w:szCs w:val="24"/>
          <w:lang w:val="en-US"/>
        </w:rPr>
      </w:pPr>
      <w:r w:rsidRPr="4188800B" w:rsidR="72855338">
        <w:rPr>
          <w:rFonts w:ascii="Aptos" w:hAnsi="Aptos" w:eastAsia="Aptos" w:cs="Aptos"/>
          <w:b w:val="0"/>
          <w:bCs w:val="0"/>
          <w:i w:val="0"/>
          <w:iCs w:val="0"/>
          <w:caps w:val="0"/>
          <w:smallCaps w:val="0"/>
          <w:noProof w:val="0"/>
          <w:color w:val="000000" w:themeColor="text1" w:themeTint="FF" w:themeShade="FF"/>
          <w:sz w:val="24"/>
          <w:szCs w:val="24"/>
          <w:lang w:val="en-CA"/>
        </w:rPr>
        <w:t xml:space="preserve">British Columbia Institute of Technology </w:t>
      </w:r>
    </w:p>
    <w:p w:rsidR="72855338" w:rsidP="4188800B" w:rsidRDefault="72855338" w14:paraId="0BA4B4A0" w14:textId="3023EB93">
      <w:pPr>
        <w:rPr>
          <w:rFonts w:ascii="Aptos" w:hAnsi="Aptos" w:eastAsia="Aptos" w:cs="Aptos"/>
          <w:b w:val="0"/>
          <w:bCs w:val="0"/>
          <w:i w:val="0"/>
          <w:iCs w:val="0"/>
          <w:caps w:val="0"/>
          <w:smallCaps w:val="0"/>
          <w:noProof w:val="0"/>
          <w:color w:val="000000" w:themeColor="text1" w:themeTint="FF" w:themeShade="FF"/>
          <w:sz w:val="24"/>
          <w:szCs w:val="24"/>
          <w:lang w:val="en-US"/>
        </w:rPr>
      </w:pPr>
      <w:r w:rsidRPr="4188800B" w:rsidR="72855338">
        <w:rPr>
          <w:rFonts w:ascii="Aptos" w:hAnsi="Aptos" w:eastAsia="Aptos" w:cs="Aptos"/>
          <w:b w:val="0"/>
          <w:bCs w:val="0"/>
          <w:i w:val="0"/>
          <w:iCs w:val="0"/>
          <w:caps w:val="0"/>
          <w:smallCaps w:val="0"/>
          <w:noProof w:val="0"/>
          <w:color w:val="000000" w:themeColor="text1" w:themeTint="FF" w:themeShade="FF"/>
          <w:sz w:val="24"/>
          <w:szCs w:val="24"/>
          <w:lang w:val="en-CA"/>
        </w:rPr>
        <w:t>March 30, 2026</w:t>
      </w:r>
    </w:p>
    <w:p w:rsidR="4188800B" w:rsidP="4188800B" w:rsidRDefault="4188800B" w14:paraId="421C9C01" w14:textId="1CB1D9B1">
      <w:pPr>
        <w:pStyle w:val="Normal"/>
        <w:spacing w:before="0" w:beforeAutospacing="off" w:after="160" w:afterAutospacing="off" w:line="278"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pPr>
    </w:p>
    <w:p xmlns:wp14="http://schemas.microsoft.com/office/word/2010/wordml" w:rsidP="308F5B4E" wp14:paraId="4B08BBF5" wp14:textId="5BC3E311">
      <w:pPr>
        <w:rPr>
          <w:rFonts w:ascii="Aptos" w:hAnsi="Aptos" w:eastAsia="Aptos" w:cs="Aptos"/>
          <w:b w:val="0"/>
          <w:bCs w:val="0"/>
          <w:i w:val="0"/>
          <w:iCs w:val="0"/>
          <w:noProof w:val="0"/>
          <w:sz w:val="24"/>
          <w:szCs w:val="24"/>
          <w:lang w:val="en-US"/>
        </w:rPr>
      </w:pPr>
      <w:r w:rsidRPr="308F5B4E" w:rsidR="4368549B">
        <w:rPr>
          <w:rFonts w:ascii="Aptos" w:hAnsi="Aptos" w:eastAsia="Aptos" w:cs="Aptos"/>
          <w:b w:val="0"/>
          <w:bCs w:val="0"/>
          <w:i w:val="0"/>
          <w:iCs w:val="0"/>
          <w:noProof w:val="0"/>
          <w:sz w:val="24"/>
          <w:szCs w:val="24"/>
          <w:lang w:val="en-CA"/>
        </w:rPr>
        <w:t>The first page of Route to Change helps Planners addresses the “current situation”, allowing users to visualize the current emissions levels of car-based commuters in the City of Halifax. A user can select a census tract and the display will highlight the daily commute routes taken by residents of that tract to all destination tracts. Table views on the right allows the user to view the number of daily commutes traversing each route along with the total daily driving-related CO</w:t>
      </w:r>
      <w:r w:rsidRPr="308F5B4E" w:rsidR="4368549B">
        <w:rPr>
          <w:rFonts w:ascii="Aptos" w:hAnsi="Aptos" w:eastAsia="Aptos" w:cs="Aptos"/>
          <w:b w:val="0"/>
          <w:bCs w:val="0"/>
          <w:i w:val="0"/>
          <w:iCs w:val="0"/>
          <w:noProof w:val="0"/>
          <w:sz w:val="24"/>
          <w:szCs w:val="24"/>
          <w:vertAlign w:val="subscript"/>
          <w:lang w:val="en-CA"/>
        </w:rPr>
        <w:t xml:space="preserve">2 </w:t>
      </w:r>
      <w:r w:rsidRPr="308F5B4E" w:rsidR="4368549B">
        <w:rPr>
          <w:rFonts w:ascii="Aptos" w:hAnsi="Aptos" w:eastAsia="Aptos" w:cs="Aptos"/>
          <w:b w:val="0"/>
          <w:bCs w:val="0"/>
          <w:i w:val="0"/>
          <w:iCs w:val="0"/>
          <w:noProof w:val="0"/>
          <w:sz w:val="24"/>
          <w:szCs w:val="24"/>
          <w:lang w:val="en-CA"/>
        </w:rPr>
        <w:t xml:space="preserve">emissions and number of daily commuters departing from each census tract. </w:t>
      </w:r>
    </w:p>
    <w:p xmlns:wp14="http://schemas.microsoft.com/office/word/2010/wordml" w:rsidP="308F5B4E" wp14:paraId="0834C0FD" wp14:textId="133E2002">
      <w:pPr>
        <w:spacing w:before="0" w:beforeAutospacing="off" w:after="160" w:afterAutospacing="off" w:line="278" w:lineRule="auto"/>
        <w:ind w:left="0" w:right="0"/>
        <w:jc w:val="left"/>
        <w:rPr>
          <w:rFonts w:ascii="Aptos" w:hAnsi="Aptos" w:eastAsia="Aptos" w:cs="Aptos"/>
          <w:b w:val="0"/>
          <w:bCs w:val="0"/>
          <w:i w:val="0"/>
          <w:iCs w:val="0"/>
          <w:noProof w:val="0"/>
          <w:sz w:val="24"/>
          <w:szCs w:val="24"/>
          <w:lang w:val="en-US"/>
        </w:rPr>
      </w:pPr>
      <w:r w:rsidRPr="308F5B4E" w:rsidR="4368549B">
        <w:rPr>
          <w:rFonts w:ascii="Aptos" w:hAnsi="Aptos" w:eastAsia="Aptos" w:cs="Aptos"/>
          <w:b w:val="0"/>
          <w:bCs w:val="0"/>
          <w:i w:val="0"/>
          <w:iCs w:val="0"/>
          <w:noProof w:val="0"/>
          <w:sz w:val="24"/>
          <w:szCs w:val="24"/>
          <w:lang w:val="en-CA"/>
        </w:rPr>
        <w:t xml:space="preserve">The second page addresses the “proposed situation”: through a combination of maps and interactive figures, users can toggle through “willingness to travel” thresholds of 30, 45 and 60 minutes to view the differences in projected ridership and associated emissions. The user can zoom in to certain areas of the </w:t>
      </w:r>
      <w:r w:rsidRPr="308F5B4E" w:rsidR="4368549B">
        <w:rPr>
          <w:rFonts w:ascii="Aptos" w:hAnsi="Aptos" w:eastAsia="Aptos" w:cs="Aptos"/>
          <w:b w:val="0"/>
          <w:bCs w:val="0"/>
          <w:i w:val="0"/>
          <w:iCs w:val="0"/>
          <w:noProof w:val="0"/>
          <w:sz w:val="24"/>
          <w:szCs w:val="24"/>
          <w:lang w:val="en-CA"/>
        </w:rPr>
        <w:t>map</w:t>
      </w:r>
      <w:r w:rsidRPr="308F5B4E" w:rsidR="4368549B">
        <w:rPr>
          <w:rFonts w:ascii="Aptos" w:hAnsi="Aptos" w:eastAsia="Aptos" w:cs="Aptos"/>
          <w:b w:val="0"/>
          <w:bCs w:val="0"/>
          <w:i w:val="0"/>
          <w:iCs w:val="0"/>
          <w:noProof w:val="0"/>
          <w:sz w:val="24"/>
          <w:szCs w:val="24"/>
          <w:lang w:val="en-CA"/>
        </w:rPr>
        <w:t xml:space="preserve"> and the figures will </w:t>
      </w:r>
      <w:r w:rsidRPr="308F5B4E" w:rsidR="7B1DFD32">
        <w:rPr>
          <w:rFonts w:ascii="Aptos" w:hAnsi="Aptos" w:eastAsia="Aptos" w:cs="Aptos"/>
          <w:b w:val="0"/>
          <w:bCs w:val="0"/>
          <w:i w:val="0"/>
          <w:iCs w:val="0"/>
          <w:noProof w:val="0"/>
          <w:sz w:val="24"/>
          <w:szCs w:val="24"/>
          <w:lang w:val="en-CA"/>
        </w:rPr>
        <w:t>be updated dynamically</w:t>
      </w:r>
      <w:r w:rsidRPr="308F5B4E" w:rsidR="4368549B">
        <w:rPr>
          <w:rFonts w:ascii="Aptos" w:hAnsi="Aptos" w:eastAsia="Aptos" w:cs="Aptos"/>
          <w:b w:val="0"/>
          <w:bCs w:val="0"/>
          <w:i w:val="0"/>
          <w:iCs w:val="0"/>
          <w:noProof w:val="0"/>
          <w:sz w:val="24"/>
          <w:szCs w:val="24"/>
          <w:lang w:val="en-CA"/>
        </w:rPr>
        <w:t xml:space="preserve"> to only include projected transit commuters and emissions from the census tracts in the current view.</w:t>
      </w:r>
    </w:p>
    <w:p xmlns:wp14="http://schemas.microsoft.com/office/word/2010/wordml" w:rsidP="308F5B4E" wp14:paraId="24180537" wp14:textId="272AF00A">
      <w:pPr>
        <w:spacing w:before="0" w:beforeAutospacing="off" w:after="160" w:afterAutospacing="off" w:line="278" w:lineRule="auto"/>
        <w:ind w:left="0" w:right="0"/>
        <w:jc w:val="left"/>
        <w:rPr>
          <w:rFonts w:ascii="Aptos" w:hAnsi="Aptos" w:eastAsia="Aptos" w:cs="Aptos"/>
          <w:b w:val="0"/>
          <w:bCs w:val="0"/>
          <w:i w:val="0"/>
          <w:iCs w:val="0"/>
          <w:noProof w:val="0"/>
          <w:sz w:val="24"/>
          <w:szCs w:val="24"/>
          <w:lang w:val="en-US"/>
        </w:rPr>
      </w:pPr>
      <w:r w:rsidRPr="308F5B4E" w:rsidR="4368549B">
        <w:rPr>
          <w:rFonts w:ascii="Aptos" w:hAnsi="Aptos" w:eastAsia="Aptos" w:cs="Aptos"/>
          <w:b w:val="0"/>
          <w:bCs w:val="0"/>
          <w:i w:val="0"/>
          <w:iCs w:val="0"/>
          <w:noProof w:val="0"/>
          <w:sz w:val="24"/>
          <w:szCs w:val="24"/>
          <w:lang w:val="en-CA"/>
        </w:rPr>
        <w:t>On the last page of Route to Change, the user can simulate the “potential scenarios”; in other words, the City can view how their proposed changes to bus fleet energy usage will impact their emissions-reduction goals. By toggling through the same “willingness to travel” thresholds through 3 different bus fleet configuration scenarios, the user can view the predicted changes to each census tract and to the whole city.</w:t>
      </w:r>
    </w:p>
    <w:p xmlns:wp14="http://schemas.microsoft.com/office/word/2010/wordml" wp14:paraId="2C078E63" wp14:textId="52446A4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6892FD"/>
    <w:rsid w:val="2638F3DE"/>
    <w:rsid w:val="2D6892FD"/>
    <w:rsid w:val="308F5B4E"/>
    <w:rsid w:val="3099F9D4"/>
    <w:rsid w:val="3D7FA822"/>
    <w:rsid w:val="4188800B"/>
    <w:rsid w:val="4368549B"/>
    <w:rsid w:val="6CAFFD08"/>
    <w:rsid w:val="72855338"/>
    <w:rsid w:val="7ACC9455"/>
    <w:rsid w:val="7B1DF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428C"/>
  <w15:chartTrackingRefBased/>
  <w15:docId w15:val="{09D547E9-0AAF-4A27-9306-6E992D33D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2026-03-30T00:48:33.4584970Z</dcterms:created>
  <dcterms:modified xsi:type="dcterms:W3CDTF">2026-03-30T02:39:32.8103290Z</dcterms:modified>
  <dc:creator>Leo Chaulk</dc:creator>
  <lastModifiedBy>Emily Klaassen</lastModifiedBy>
</coreProperties>
</file>