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49F89" w14:textId="3C98ED6E" w:rsidR="008611ED" w:rsidRPr="008611ED" w:rsidRDefault="008611ED" w:rsidP="008611ED">
      <w:pPr>
        <w:pStyle w:val="NormalWeb"/>
        <w:rPr>
          <w:b/>
          <w:bCs/>
        </w:rPr>
      </w:pPr>
      <w:r w:rsidRPr="008611ED">
        <w:rPr>
          <w:b/>
          <w:bCs/>
        </w:rPr>
        <w:t xml:space="preserve">Mission Statement </w:t>
      </w:r>
    </w:p>
    <w:p w14:paraId="327BFD10" w14:textId="5D9B5571" w:rsidR="008611ED" w:rsidRDefault="008611ED" w:rsidP="008611ED">
      <w:pPr>
        <w:pStyle w:val="NormalWeb"/>
      </w:pPr>
      <w:r>
        <w:t xml:space="preserve">Having a healthy life is a fundamental aspiration for every person, and equitable </w:t>
      </w:r>
      <w:r>
        <w:t xml:space="preserve">physical </w:t>
      </w:r>
      <w:r>
        <w:t xml:space="preserve">access to healthcare is central to achieving it. </w:t>
      </w:r>
      <w:r w:rsidRPr="008E3560">
        <w:t>With the adoption of the United Nations Sustainable Development Goals in 2015, Canada is working to ensure its people have well-maintained physical access to healthcare whenever and wherever it's needed. Of these interconnected SDGs, SDGs 3 (Good Health and Well-being), SDG 9 (Industry, Innovation and Infrastructure), and SDG 11 (Sustainable Cities and Communities) collectively contribute to physical access to healthcare in cities</w:t>
      </w:r>
      <w:r w:rsidRPr="008E3560">
        <w:rPr>
          <w:vertAlign w:val="superscript"/>
        </w:rPr>
        <w:t>1</w:t>
      </w:r>
      <w:r w:rsidRPr="008E3560">
        <w:t xml:space="preserve">. </w:t>
      </w:r>
      <w:r>
        <w:t>Despite promising efforts to improve healthcare access in Canadian cities, significant barriers remain</w:t>
      </w:r>
      <w:r w:rsidRPr="008611ED">
        <w:rPr>
          <w:vertAlign w:val="superscript"/>
        </w:rPr>
        <w:t>2</w:t>
      </w:r>
      <w:r>
        <w:t>. P</w:t>
      </w:r>
      <w:r>
        <w:t>articularly for adults aged 65 and older. The structure and performance of both public and private transportation networks directly shape older adults’ ability to access hospitals and healthcare facilities safely and efficiently.</w:t>
      </w:r>
    </w:p>
    <w:p w14:paraId="23C7995C" w14:textId="1F0C6671" w:rsidR="008611ED" w:rsidRDefault="008611ED" w:rsidP="008611ED">
      <w:pPr>
        <w:pStyle w:val="NormalWeb"/>
      </w:pPr>
      <w:r>
        <w:t xml:space="preserve">In </w:t>
      </w:r>
      <w:r>
        <w:rPr>
          <w:rStyle w:val="whitespace-normal"/>
        </w:rPr>
        <w:t>Toronto</w:t>
      </w:r>
      <w:r>
        <w:t>, the aging population is growing rapidly. According to the 2021 Census, approximately 477,000 residents are aged 65 and older. By 2041, this number is projected to exceed 719,000</w:t>
      </w:r>
      <w:r>
        <w:t xml:space="preserve">; </w:t>
      </w:r>
      <w:r>
        <w:t>an increase of more than 50 percent, with the sharpest growth among those aged 75 and older</w:t>
      </w:r>
      <w:r w:rsidRPr="008611ED">
        <w:rPr>
          <w:vertAlign w:val="superscript"/>
        </w:rPr>
        <w:t>3</w:t>
      </w:r>
      <w:r>
        <w:t>. Many older adults live with chronic conditions such as hypertension, diabetes, and chronic obstructive pulmonary disease, increasing their need for timely access to hospital services</w:t>
      </w:r>
      <w:r w:rsidRPr="008611ED">
        <w:rPr>
          <w:vertAlign w:val="superscript"/>
        </w:rPr>
        <w:t>4</w:t>
      </w:r>
      <w:r>
        <w:t>.</w:t>
      </w:r>
      <w:r>
        <w:t xml:space="preserve"> The app </w:t>
      </w:r>
      <w:r>
        <w:rPr>
          <w:rStyle w:val="Strong"/>
        </w:rPr>
        <w:t>CareReach Toronto</w:t>
      </w:r>
      <w:r>
        <w:t xml:space="preserve"> was developed to respond to this urgent demographic and </w:t>
      </w:r>
      <w:r>
        <w:t>infrastructural</w:t>
      </w:r>
      <w:r>
        <w:t xml:space="preserve"> shift. The platform enables users to visualize </w:t>
      </w:r>
      <w:r>
        <w:t xml:space="preserve">the nearest available hospital bed and accessibility via sustainable transportation options, such as public transit and automobile </w:t>
      </w:r>
      <w:r>
        <w:t xml:space="preserve">travel. By integrating health infrastructure data with transportation accessibility metrics, </w:t>
      </w:r>
      <w:r w:rsidRPr="008611ED">
        <w:rPr>
          <w:b/>
          <w:bCs/>
        </w:rPr>
        <w:t>CareReach Toronto</w:t>
      </w:r>
      <w:r>
        <w:t xml:space="preserve"> empowers older adults to make informed decisions about </w:t>
      </w:r>
      <w:r>
        <w:t xml:space="preserve">access to </w:t>
      </w:r>
      <w:r w:rsidR="00D53581">
        <w:t>healthcare during emergencies and for routine care</w:t>
      </w:r>
      <w:r>
        <w:t>.</w:t>
      </w:r>
    </w:p>
    <w:p w14:paraId="7DF669CF" w14:textId="0291CF6E" w:rsidR="008611ED" w:rsidRDefault="008611ED" w:rsidP="008611ED">
      <w:pPr>
        <w:pStyle w:val="NormalWeb"/>
      </w:pPr>
      <w:r>
        <w:t xml:space="preserve">Beyond individual users, </w:t>
      </w:r>
      <w:r w:rsidRPr="008611ED">
        <w:rPr>
          <w:b/>
          <w:bCs/>
        </w:rPr>
        <w:t>CareReach Toronto</w:t>
      </w:r>
      <w:r>
        <w:t xml:space="preserve"> generates actionable insights for urban and transportation planners. The platform provides neighborhood-level accessibility scores, hospital bed-to-population ratios, and identifies 15-minute transit deserts across the city. It also reveals how </w:t>
      </w:r>
      <w:r>
        <w:t xml:space="preserve">access to sustainable transportation </w:t>
      </w:r>
      <w:r>
        <w:t>intersects with the age structure of census tracts, highlighting areas where vulnerable populations face disproportionate barriers.</w:t>
      </w:r>
      <w:r>
        <w:t xml:space="preserve"> </w:t>
      </w:r>
      <w:r>
        <w:t xml:space="preserve">By interconnecting aging populations with sustainable transportation planning, </w:t>
      </w:r>
      <w:r w:rsidRPr="008611ED">
        <w:rPr>
          <w:b/>
          <w:bCs/>
        </w:rPr>
        <w:t xml:space="preserve">CareReach Toronto </w:t>
      </w:r>
      <w:r>
        <w:t xml:space="preserve">advances equity-centered urban </w:t>
      </w:r>
      <w:r>
        <w:t xml:space="preserve">transport </w:t>
      </w:r>
      <w:r>
        <w:t>design and supports data-driven strategies that prioritize older and vulnerable communities</w:t>
      </w:r>
      <w:r>
        <w:t>, ensuring sustainable transport for everyone!</w:t>
      </w:r>
    </w:p>
    <w:p w14:paraId="76651223" w14:textId="78A1D6D2" w:rsidR="00BC2841" w:rsidRDefault="008611ED">
      <w:pPr>
        <w:rPr>
          <w:rFonts w:ascii="Times New Roman" w:hAnsi="Times New Roman" w:cs="Times New Roman"/>
          <w:sz w:val="24"/>
          <w:szCs w:val="24"/>
        </w:rPr>
      </w:pPr>
      <w:r w:rsidRPr="008611ED">
        <w:rPr>
          <w:rFonts w:ascii="Times New Roman" w:hAnsi="Times New Roman" w:cs="Times New Roman"/>
          <w:sz w:val="24"/>
          <w:szCs w:val="24"/>
        </w:rPr>
        <w:t xml:space="preserve">References </w:t>
      </w:r>
    </w:p>
    <w:p w14:paraId="6A88192C" w14:textId="54A2034D"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r>
        <w:rPr>
          <w:rFonts w:ascii="Times New Roman" w:eastAsia="Times New Roman" w:hAnsi="Times New Roman" w:cs="Times New Roman"/>
          <w:color w:val="000000" w:themeColor="text1"/>
          <w:kern w:val="0"/>
          <w:sz w:val="24"/>
          <w:szCs w:val="24"/>
          <w:vertAlign w:val="superscript"/>
          <w:lang w:eastAsia="en-CA"/>
          <w14:ligatures w14:val="none"/>
        </w:rPr>
        <w:t xml:space="preserve">          </w:t>
      </w:r>
      <w:r w:rsidRPr="008E3560">
        <w:rPr>
          <w:rFonts w:ascii="Times New Roman" w:eastAsia="Times New Roman" w:hAnsi="Times New Roman" w:cs="Times New Roman"/>
          <w:color w:val="000000" w:themeColor="text1"/>
          <w:kern w:val="0"/>
          <w:sz w:val="24"/>
          <w:szCs w:val="24"/>
          <w:vertAlign w:val="superscript"/>
          <w:lang w:eastAsia="en-CA"/>
          <w14:ligatures w14:val="none"/>
        </w:rPr>
        <w:t>1</w:t>
      </w:r>
      <w:r w:rsidRPr="005C6710">
        <w:rPr>
          <w:rFonts w:ascii="Times New Roman" w:eastAsia="Times New Roman" w:hAnsi="Times New Roman" w:cs="Times New Roman"/>
          <w:color w:val="000000" w:themeColor="text1"/>
          <w:kern w:val="0"/>
          <w:sz w:val="24"/>
          <w:szCs w:val="24"/>
          <w:lang w:eastAsia="en-CA"/>
          <w14:ligatures w14:val="none"/>
        </w:rPr>
        <w:t xml:space="preserve">Cling, J.-P., &amp; Delecourt, C. (2022). Interlinkages between the Sustainable Development Goals. </w:t>
      </w:r>
      <w:r w:rsidRPr="005C6710">
        <w:rPr>
          <w:rFonts w:ascii="Times New Roman" w:eastAsia="Times New Roman" w:hAnsi="Times New Roman" w:cs="Times New Roman"/>
          <w:i/>
          <w:iCs/>
          <w:color w:val="000000" w:themeColor="text1"/>
          <w:kern w:val="0"/>
          <w:sz w:val="24"/>
          <w:szCs w:val="24"/>
          <w:lang w:eastAsia="en-CA"/>
          <w14:ligatures w14:val="none"/>
        </w:rPr>
        <w:t>World Development Perspectives</w:t>
      </w:r>
      <w:r w:rsidRPr="005C6710">
        <w:rPr>
          <w:rFonts w:ascii="Times New Roman" w:eastAsia="Times New Roman" w:hAnsi="Times New Roman" w:cs="Times New Roman"/>
          <w:color w:val="000000" w:themeColor="text1"/>
          <w:kern w:val="0"/>
          <w:sz w:val="24"/>
          <w:szCs w:val="24"/>
          <w:lang w:eastAsia="en-CA"/>
          <w14:ligatures w14:val="none"/>
        </w:rPr>
        <w:t xml:space="preserve">, </w:t>
      </w:r>
      <w:r w:rsidRPr="005C6710">
        <w:rPr>
          <w:rFonts w:ascii="Times New Roman" w:eastAsia="Times New Roman" w:hAnsi="Times New Roman" w:cs="Times New Roman"/>
          <w:i/>
          <w:iCs/>
          <w:color w:val="000000" w:themeColor="text1"/>
          <w:kern w:val="0"/>
          <w:sz w:val="24"/>
          <w:szCs w:val="24"/>
          <w:lang w:eastAsia="en-CA"/>
          <w14:ligatures w14:val="none"/>
        </w:rPr>
        <w:t>25</w:t>
      </w:r>
      <w:r w:rsidRPr="005C6710">
        <w:rPr>
          <w:rFonts w:ascii="Times New Roman" w:eastAsia="Times New Roman" w:hAnsi="Times New Roman" w:cs="Times New Roman"/>
          <w:color w:val="000000" w:themeColor="text1"/>
          <w:kern w:val="0"/>
          <w:sz w:val="24"/>
          <w:szCs w:val="24"/>
          <w:lang w:eastAsia="en-CA"/>
          <w14:ligatures w14:val="none"/>
        </w:rPr>
        <w:t xml:space="preserve">, 100398. </w:t>
      </w:r>
      <w:hyperlink r:id="rId4" w:history="1">
        <w:r w:rsidRPr="005C6710">
          <w:rPr>
            <w:rFonts w:ascii="Times New Roman" w:eastAsia="Times New Roman" w:hAnsi="Times New Roman" w:cs="Times New Roman"/>
            <w:color w:val="000000" w:themeColor="text1"/>
            <w:kern w:val="0"/>
            <w:sz w:val="24"/>
            <w:szCs w:val="24"/>
            <w:lang w:eastAsia="en-CA"/>
            <w14:ligatures w14:val="none"/>
          </w:rPr>
          <w:t>https://doi.org/10.1016/j.wdp.2022.100398</w:t>
        </w:r>
      </w:hyperlink>
    </w:p>
    <w:p w14:paraId="023A9D75" w14:textId="77777777"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p>
    <w:p w14:paraId="1DB73745" w14:textId="77777777"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r w:rsidRPr="008E3560">
        <w:rPr>
          <w:rFonts w:ascii="Times New Roman" w:eastAsia="Times New Roman" w:hAnsi="Times New Roman" w:cs="Times New Roman"/>
          <w:color w:val="000000" w:themeColor="text1"/>
          <w:kern w:val="0"/>
          <w:sz w:val="24"/>
          <w:szCs w:val="24"/>
          <w:vertAlign w:val="superscript"/>
          <w:lang w:eastAsia="en-CA"/>
          <w14:ligatures w14:val="none"/>
        </w:rPr>
        <w:t xml:space="preserve">           2</w:t>
      </w:r>
      <w:r w:rsidRPr="005C6710">
        <w:rPr>
          <w:rFonts w:ascii="Times New Roman" w:eastAsia="Times New Roman" w:hAnsi="Times New Roman" w:cs="Times New Roman"/>
          <w:color w:val="000000" w:themeColor="text1"/>
          <w:kern w:val="0"/>
          <w:sz w:val="24"/>
          <w:szCs w:val="24"/>
          <w:lang w:eastAsia="en-CA"/>
          <w14:ligatures w14:val="none"/>
        </w:rPr>
        <w:t xml:space="preserve">Patrick, K., &amp; Laupacis, A. (2023). A focus on access to health care in Canada. </w:t>
      </w:r>
      <w:r w:rsidRPr="005C6710">
        <w:rPr>
          <w:rFonts w:ascii="Times New Roman" w:eastAsia="Times New Roman" w:hAnsi="Times New Roman" w:cs="Times New Roman"/>
          <w:i/>
          <w:iCs/>
          <w:color w:val="000000" w:themeColor="text1"/>
          <w:kern w:val="0"/>
          <w:sz w:val="24"/>
          <w:szCs w:val="24"/>
          <w:lang w:eastAsia="en-CA"/>
          <w14:ligatures w14:val="none"/>
        </w:rPr>
        <w:t>CMAJ : Canadian Medical Association Journal</w:t>
      </w:r>
      <w:r w:rsidRPr="005C6710">
        <w:rPr>
          <w:rFonts w:ascii="Times New Roman" w:eastAsia="Times New Roman" w:hAnsi="Times New Roman" w:cs="Times New Roman"/>
          <w:color w:val="000000" w:themeColor="text1"/>
          <w:kern w:val="0"/>
          <w:sz w:val="24"/>
          <w:szCs w:val="24"/>
          <w:lang w:eastAsia="en-CA"/>
          <w14:ligatures w14:val="none"/>
        </w:rPr>
        <w:t xml:space="preserve">, </w:t>
      </w:r>
      <w:r w:rsidRPr="005C6710">
        <w:rPr>
          <w:rFonts w:ascii="Times New Roman" w:eastAsia="Times New Roman" w:hAnsi="Times New Roman" w:cs="Times New Roman"/>
          <w:i/>
          <w:iCs/>
          <w:color w:val="000000" w:themeColor="text1"/>
          <w:kern w:val="0"/>
          <w:sz w:val="24"/>
          <w:szCs w:val="24"/>
          <w:lang w:eastAsia="en-CA"/>
          <w14:ligatures w14:val="none"/>
        </w:rPr>
        <w:t>195</w:t>
      </w:r>
      <w:r w:rsidRPr="005C6710">
        <w:rPr>
          <w:rFonts w:ascii="Times New Roman" w:eastAsia="Times New Roman" w:hAnsi="Times New Roman" w:cs="Times New Roman"/>
          <w:color w:val="000000" w:themeColor="text1"/>
          <w:kern w:val="0"/>
          <w:sz w:val="24"/>
          <w:szCs w:val="24"/>
          <w:lang w:eastAsia="en-CA"/>
          <w14:ligatures w14:val="none"/>
        </w:rPr>
        <w:t xml:space="preserve">(3), E123–E124. </w:t>
      </w:r>
      <w:hyperlink r:id="rId5" w:history="1">
        <w:r w:rsidRPr="005C6710">
          <w:rPr>
            <w:rFonts w:ascii="Times New Roman" w:eastAsia="Times New Roman" w:hAnsi="Times New Roman" w:cs="Times New Roman"/>
            <w:color w:val="000000" w:themeColor="text1"/>
            <w:kern w:val="0"/>
            <w:sz w:val="24"/>
            <w:szCs w:val="24"/>
            <w:lang w:eastAsia="en-CA"/>
            <w14:ligatures w14:val="none"/>
          </w:rPr>
          <w:t>https://doi.org/10.1503/cmaj.230040</w:t>
        </w:r>
      </w:hyperlink>
    </w:p>
    <w:p w14:paraId="18D01A87" w14:textId="77777777"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p>
    <w:p w14:paraId="029669F7" w14:textId="77777777"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r w:rsidRPr="008E3560">
        <w:rPr>
          <w:rFonts w:ascii="Times New Roman" w:eastAsia="Times New Roman" w:hAnsi="Times New Roman" w:cs="Times New Roman"/>
          <w:color w:val="000000" w:themeColor="text1"/>
          <w:kern w:val="0"/>
          <w:sz w:val="24"/>
          <w:szCs w:val="24"/>
          <w:lang w:eastAsia="en-CA"/>
          <w14:ligatures w14:val="none"/>
        </w:rPr>
        <w:t xml:space="preserve">        </w:t>
      </w:r>
      <w:r w:rsidRPr="008E3560">
        <w:rPr>
          <w:rFonts w:ascii="Times New Roman" w:eastAsia="Times New Roman" w:hAnsi="Times New Roman" w:cs="Times New Roman"/>
          <w:color w:val="000000" w:themeColor="text1"/>
          <w:kern w:val="0"/>
          <w:sz w:val="24"/>
          <w:szCs w:val="24"/>
          <w:vertAlign w:val="superscript"/>
          <w:lang w:eastAsia="en-CA"/>
          <w14:ligatures w14:val="none"/>
        </w:rPr>
        <w:t>3</w:t>
      </w:r>
      <w:r w:rsidRPr="005C6710">
        <w:rPr>
          <w:rFonts w:ascii="Times New Roman" w:eastAsia="Times New Roman" w:hAnsi="Times New Roman" w:cs="Times New Roman"/>
          <w:color w:val="000000" w:themeColor="text1"/>
          <w:kern w:val="0"/>
          <w:sz w:val="24"/>
          <w:szCs w:val="24"/>
          <w:lang w:eastAsia="en-CA"/>
          <w14:ligatures w14:val="none"/>
        </w:rPr>
        <w:t>Owusu, B., Bivins, B., Marseille, B. R., &amp; Baptiste, D. (2023). Aging in place: Programs, challenges</w:t>
      </w:r>
      <w:r w:rsidRPr="008E3560">
        <w:rPr>
          <w:rFonts w:ascii="Times New Roman" w:eastAsia="Times New Roman" w:hAnsi="Times New Roman" w:cs="Times New Roman"/>
          <w:color w:val="000000" w:themeColor="text1"/>
          <w:kern w:val="0"/>
          <w:sz w:val="24"/>
          <w:szCs w:val="24"/>
          <w:lang w:eastAsia="en-CA"/>
          <w14:ligatures w14:val="none"/>
        </w:rPr>
        <w:t>,</w:t>
      </w:r>
      <w:r w:rsidRPr="005C6710">
        <w:rPr>
          <w:rFonts w:ascii="Times New Roman" w:eastAsia="Times New Roman" w:hAnsi="Times New Roman" w:cs="Times New Roman"/>
          <w:color w:val="000000" w:themeColor="text1"/>
          <w:kern w:val="0"/>
          <w:sz w:val="24"/>
          <w:szCs w:val="24"/>
          <w:lang w:eastAsia="en-CA"/>
          <w14:ligatures w14:val="none"/>
        </w:rPr>
        <w:t xml:space="preserve"> and opportunities for promoting healthy aging for older adults. </w:t>
      </w:r>
      <w:r w:rsidRPr="005C6710">
        <w:rPr>
          <w:rFonts w:ascii="Times New Roman" w:eastAsia="Times New Roman" w:hAnsi="Times New Roman" w:cs="Times New Roman"/>
          <w:i/>
          <w:iCs/>
          <w:color w:val="000000" w:themeColor="text1"/>
          <w:kern w:val="0"/>
          <w:sz w:val="24"/>
          <w:szCs w:val="24"/>
          <w:lang w:eastAsia="en-CA"/>
          <w14:ligatures w14:val="none"/>
        </w:rPr>
        <w:t>Nursing Open</w:t>
      </w:r>
      <w:r w:rsidRPr="005C6710">
        <w:rPr>
          <w:rFonts w:ascii="Times New Roman" w:eastAsia="Times New Roman" w:hAnsi="Times New Roman" w:cs="Times New Roman"/>
          <w:color w:val="000000" w:themeColor="text1"/>
          <w:kern w:val="0"/>
          <w:sz w:val="24"/>
          <w:szCs w:val="24"/>
          <w:lang w:eastAsia="en-CA"/>
          <w14:ligatures w14:val="none"/>
        </w:rPr>
        <w:t xml:space="preserve">, </w:t>
      </w:r>
      <w:r w:rsidRPr="005C6710">
        <w:rPr>
          <w:rFonts w:ascii="Times New Roman" w:eastAsia="Times New Roman" w:hAnsi="Times New Roman" w:cs="Times New Roman"/>
          <w:i/>
          <w:iCs/>
          <w:color w:val="000000" w:themeColor="text1"/>
          <w:kern w:val="0"/>
          <w:sz w:val="24"/>
          <w:szCs w:val="24"/>
          <w:lang w:eastAsia="en-CA"/>
          <w14:ligatures w14:val="none"/>
        </w:rPr>
        <w:t>10</w:t>
      </w:r>
      <w:r w:rsidRPr="005C6710">
        <w:rPr>
          <w:rFonts w:ascii="Times New Roman" w:eastAsia="Times New Roman" w:hAnsi="Times New Roman" w:cs="Times New Roman"/>
          <w:color w:val="000000" w:themeColor="text1"/>
          <w:kern w:val="0"/>
          <w:sz w:val="24"/>
          <w:szCs w:val="24"/>
          <w:lang w:eastAsia="en-CA"/>
          <w14:ligatures w14:val="none"/>
        </w:rPr>
        <w:t xml:space="preserve">(9), 5784–5786. </w:t>
      </w:r>
      <w:hyperlink r:id="rId6" w:history="1">
        <w:r w:rsidRPr="005C6710">
          <w:rPr>
            <w:rFonts w:ascii="Times New Roman" w:eastAsia="Times New Roman" w:hAnsi="Times New Roman" w:cs="Times New Roman"/>
            <w:color w:val="000000" w:themeColor="text1"/>
            <w:kern w:val="0"/>
            <w:sz w:val="24"/>
            <w:szCs w:val="24"/>
            <w:lang w:eastAsia="en-CA"/>
            <w14:ligatures w14:val="none"/>
          </w:rPr>
          <w:t>https://doi.org/10.1002/nop2.1872</w:t>
        </w:r>
      </w:hyperlink>
    </w:p>
    <w:p w14:paraId="5F6BCFB1" w14:textId="77777777" w:rsidR="00D53581" w:rsidRPr="008E3560" w:rsidRDefault="00D53581" w:rsidP="00D53581">
      <w:pPr>
        <w:spacing w:after="0" w:line="240" w:lineRule="auto"/>
        <w:ind w:hanging="480"/>
        <w:jc w:val="both"/>
        <w:rPr>
          <w:rFonts w:ascii="Times New Roman" w:eastAsia="Times New Roman" w:hAnsi="Times New Roman" w:cs="Times New Roman"/>
          <w:color w:val="000000" w:themeColor="text1"/>
          <w:kern w:val="0"/>
          <w:sz w:val="24"/>
          <w:szCs w:val="24"/>
          <w:lang w:eastAsia="en-CA"/>
          <w14:ligatures w14:val="none"/>
        </w:rPr>
      </w:pPr>
    </w:p>
    <w:p w14:paraId="460BA487" w14:textId="77777777" w:rsidR="00D53581" w:rsidRPr="008E3560" w:rsidRDefault="00D53581" w:rsidP="00D53581">
      <w:pPr>
        <w:spacing w:after="0" w:line="240" w:lineRule="auto"/>
        <w:ind w:hanging="480"/>
        <w:jc w:val="both"/>
        <w:rPr>
          <w:rFonts w:ascii="Times New Roman" w:hAnsi="Times New Roman" w:cs="Times New Roman"/>
          <w:sz w:val="24"/>
          <w:szCs w:val="24"/>
        </w:rPr>
      </w:pPr>
      <w:r w:rsidRPr="008E3560">
        <w:rPr>
          <w:rFonts w:ascii="Times New Roman" w:hAnsi="Times New Roman" w:cs="Times New Roman"/>
          <w:sz w:val="24"/>
          <w:szCs w:val="24"/>
        </w:rPr>
        <w:t xml:space="preserve">         </w:t>
      </w:r>
      <w:r w:rsidRPr="008E3560">
        <w:rPr>
          <w:rFonts w:ascii="Times New Roman" w:hAnsi="Times New Roman" w:cs="Times New Roman"/>
          <w:sz w:val="24"/>
          <w:szCs w:val="24"/>
          <w:vertAlign w:val="superscript"/>
        </w:rPr>
        <w:t>4</w:t>
      </w:r>
      <w:r w:rsidRPr="008E3560">
        <w:rPr>
          <w:rFonts w:ascii="Times New Roman" w:hAnsi="Times New Roman" w:cs="Times New Roman"/>
          <w:sz w:val="24"/>
          <w:szCs w:val="24"/>
        </w:rPr>
        <w:t>Statistics Canada, (2021) Census of Population</w:t>
      </w:r>
    </w:p>
    <w:p w14:paraId="47B396C0" w14:textId="77777777" w:rsidR="00D53581" w:rsidRPr="008E3560" w:rsidRDefault="00D53581" w:rsidP="00D53581">
      <w:pPr>
        <w:spacing w:after="0" w:line="240" w:lineRule="auto"/>
        <w:ind w:hanging="480"/>
        <w:jc w:val="both"/>
        <w:rPr>
          <w:rFonts w:ascii="Times New Roman" w:hAnsi="Times New Roman" w:cs="Times New Roman"/>
          <w:sz w:val="24"/>
          <w:szCs w:val="24"/>
        </w:rPr>
      </w:pPr>
      <w:r w:rsidRPr="008E3560">
        <w:rPr>
          <w:rFonts w:ascii="Times New Roman" w:hAnsi="Times New Roman" w:cs="Times New Roman"/>
          <w:sz w:val="24"/>
          <w:szCs w:val="24"/>
        </w:rPr>
        <w:lastRenderedPageBreak/>
        <w:t xml:space="preserve">             </w:t>
      </w:r>
    </w:p>
    <w:p w14:paraId="4FAB1712" w14:textId="77777777" w:rsidR="00D53581" w:rsidRPr="008E3560" w:rsidRDefault="00D53581" w:rsidP="00D53581">
      <w:pPr>
        <w:spacing w:after="0" w:line="240" w:lineRule="auto"/>
        <w:ind w:hanging="480"/>
        <w:rPr>
          <w:rFonts w:ascii="Times New Roman" w:eastAsia="Times New Roman" w:hAnsi="Times New Roman" w:cs="Times New Roman"/>
          <w:kern w:val="0"/>
          <w:sz w:val="24"/>
          <w:szCs w:val="24"/>
          <w:lang w:eastAsia="en-CA"/>
          <w14:ligatures w14:val="none"/>
        </w:rPr>
      </w:pPr>
      <w:r w:rsidRPr="008E3560">
        <w:rPr>
          <w:rFonts w:ascii="Times New Roman" w:eastAsia="Times New Roman" w:hAnsi="Times New Roman" w:cs="Times New Roman"/>
          <w:kern w:val="0"/>
          <w:sz w:val="24"/>
          <w:szCs w:val="24"/>
          <w:lang w:eastAsia="en-CA"/>
          <w14:ligatures w14:val="none"/>
        </w:rPr>
        <w:t xml:space="preserve">        </w:t>
      </w:r>
      <w:r w:rsidRPr="008E3560">
        <w:rPr>
          <w:rFonts w:ascii="Times New Roman" w:eastAsia="Times New Roman" w:hAnsi="Times New Roman" w:cs="Times New Roman"/>
          <w:kern w:val="0"/>
          <w:sz w:val="24"/>
          <w:szCs w:val="24"/>
          <w:vertAlign w:val="superscript"/>
          <w:lang w:eastAsia="en-CA"/>
          <w14:ligatures w14:val="none"/>
        </w:rPr>
        <w:t>5</w:t>
      </w:r>
      <w:r w:rsidRPr="008E3560">
        <w:rPr>
          <w:rFonts w:ascii="Times New Roman" w:eastAsia="Times New Roman" w:hAnsi="Times New Roman" w:cs="Times New Roman"/>
          <w:kern w:val="0"/>
          <w:sz w:val="24"/>
          <w:szCs w:val="24"/>
          <w:lang w:eastAsia="en-CA"/>
          <w14:ligatures w14:val="none"/>
        </w:rPr>
        <w:t xml:space="preserve">Ontario Ministry of Health, IntelliHealth Ontario. (2024). </w:t>
      </w:r>
      <w:r w:rsidRPr="008E3560">
        <w:rPr>
          <w:rFonts w:ascii="Times New Roman" w:eastAsia="Times New Roman" w:hAnsi="Times New Roman" w:cs="Times New Roman"/>
          <w:i/>
          <w:iCs/>
          <w:kern w:val="0"/>
          <w:sz w:val="24"/>
          <w:szCs w:val="24"/>
          <w:lang w:eastAsia="en-CA"/>
          <w14:ligatures w14:val="none"/>
        </w:rPr>
        <w:t xml:space="preserve">Healthy Aging in  Toronto, </w:t>
      </w:r>
      <w:proofErr w:type="gramStart"/>
      <w:r w:rsidRPr="008E3560">
        <w:rPr>
          <w:rFonts w:ascii="Times New Roman" w:eastAsia="Times New Roman" w:hAnsi="Times New Roman" w:cs="Times New Roman"/>
          <w:i/>
          <w:iCs/>
          <w:kern w:val="0"/>
          <w:sz w:val="24"/>
          <w:szCs w:val="24"/>
          <w:lang w:eastAsia="en-CA"/>
          <w14:ligatures w14:val="none"/>
        </w:rPr>
        <w:t>at a glance</w:t>
      </w:r>
      <w:proofErr w:type="gramEnd"/>
    </w:p>
    <w:p w14:paraId="1E48BD0F" w14:textId="77777777" w:rsidR="008611ED" w:rsidRPr="008611ED" w:rsidRDefault="008611ED">
      <w:pPr>
        <w:rPr>
          <w:rFonts w:ascii="Times New Roman" w:hAnsi="Times New Roman" w:cs="Times New Roman"/>
          <w:sz w:val="24"/>
          <w:szCs w:val="24"/>
        </w:rPr>
      </w:pPr>
    </w:p>
    <w:sectPr w:rsidR="008611ED" w:rsidRPr="008611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ED"/>
    <w:rsid w:val="008611ED"/>
    <w:rsid w:val="00BC2841"/>
    <w:rsid w:val="00D535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FCC2"/>
  <w15:chartTrackingRefBased/>
  <w15:docId w15:val="{0276C6F1-1DC0-4557-B651-19748B87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1E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whitespace-normal">
    <w:name w:val="whitespace-normal"/>
    <w:basedOn w:val="DefaultParagraphFont"/>
    <w:rsid w:val="008611ED"/>
  </w:style>
  <w:style w:type="character" w:styleId="Strong">
    <w:name w:val="Strong"/>
    <w:basedOn w:val="DefaultParagraphFont"/>
    <w:uiPriority w:val="22"/>
    <w:qFormat/>
    <w:rsid w:val="00861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6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nop2.1872" TargetMode="External"/><Relationship Id="rId5" Type="http://schemas.openxmlformats.org/officeDocument/2006/relationships/hyperlink" Target="https://doi.org/10.1503/cmaj.230040" TargetMode="External"/><Relationship Id="rId4" Type="http://schemas.openxmlformats.org/officeDocument/2006/relationships/hyperlink" Target="https://doi.org/10.1016/j.wdp.2022.100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Chrishma Perera</dc:creator>
  <cp:keywords/>
  <dc:description/>
  <cp:lastModifiedBy>Chrishma Perera</cp:lastModifiedBy>
  <cp:revision>1</cp:revision>
  <dcterms:created xsi:type="dcterms:W3CDTF">2026-02-27T23:31:00Z</dcterms:created>
  <dcterms:modified xsi:type="dcterms:W3CDTF">2026-02-27T23:51:00Z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d853b549-d3ad-4993-9e36-fe94f9e84435</vt:lpwstr>
  </property>
</Properties>
</file>