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6550" w14:textId="77777777" w:rsidR="005C27D6" w:rsidRPr="005C27D6" w:rsidRDefault="005C27D6" w:rsidP="005C27D6">
      <w:pPr>
        <w:rPr>
          <w:b/>
          <w:bCs/>
        </w:rPr>
      </w:pPr>
      <w:r w:rsidRPr="005C27D6">
        <w:rPr>
          <w:b/>
          <w:bCs/>
        </w:rPr>
        <w:t>Statement of Characteristics </w:t>
      </w:r>
    </w:p>
    <w:p w14:paraId="0BFE22D5" w14:textId="4AE6D2A7" w:rsidR="00E75D02" w:rsidRDefault="00E75D02" w:rsidP="00251343">
      <w:pPr>
        <w:jc w:val="both"/>
      </w:pPr>
      <w:proofErr w:type="spellStart"/>
      <w:r w:rsidRPr="00E75D02">
        <w:t>VanVolt</w:t>
      </w:r>
      <w:proofErr w:type="spellEnd"/>
      <w:r w:rsidRPr="00E75D02">
        <w:t xml:space="preserve"> is a geospatial information and decision-support application designed to advance sustainable transportation by improving access to electric vehicle (EV) charging infrastructure. The application integrates multiple spatial analysis techniques—including density mapping, drive-time accessibility modeling, and index-based evaluation—to provide both public-facing tools and policy-oriented insights.</w:t>
      </w:r>
    </w:p>
    <w:p w14:paraId="77590BB9" w14:textId="21136094" w:rsidR="001850B5" w:rsidRPr="001850B5" w:rsidRDefault="001850B5" w:rsidP="00251343">
      <w:pPr>
        <w:jc w:val="both"/>
        <w:rPr>
          <w:b/>
          <w:bCs/>
          <w:lang w:val="en-US"/>
        </w:rPr>
      </w:pPr>
      <w:r w:rsidRPr="001850B5">
        <w:rPr>
          <w:b/>
          <w:bCs/>
          <w:lang w:val="en-US"/>
        </w:rPr>
        <w:t xml:space="preserve">1. EV Locator </w:t>
      </w:r>
    </w:p>
    <w:p w14:paraId="7F03A219" w14:textId="178EAD6D" w:rsidR="00E75D02" w:rsidRPr="00E75D02" w:rsidRDefault="00E75D02" w:rsidP="00E75D02">
      <w:pPr>
        <w:jc w:val="both"/>
        <w:rPr>
          <w:lang w:val="en-US"/>
        </w:rPr>
      </w:pPr>
      <w:r w:rsidRPr="00E75D02">
        <w:rPr>
          <w:lang w:val="en-US"/>
        </w:rPr>
        <w:t>The EV Locator provides an interactive map interface that enables users to identify EV charging stations based on address search and proximity to key transit hubs such as SkyTrain</w:t>
      </w:r>
      <w:r w:rsidR="00FE0901">
        <w:rPr>
          <w:lang w:val="en-US"/>
        </w:rPr>
        <w:t xml:space="preserve"> trains stations</w:t>
      </w:r>
      <w:r w:rsidRPr="00E75D02">
        <w:rPr>
          <w:lang w:val="en-US"/>
        </w:rPr>
        <w:t>.</w:t>
      </w:r>
    </w:p>
    <w:p w14:paraId="324BFF3B" w14:textId="3FF30CC4" w:rsidR="00E75D02" w:rsidRPr="00E75D02" w:rsidRDefault="00E75D02" w:rsidP="00E75D02">
      <w:pPr>
        <w:jc w:val="both"/>
        <w:rPr>
          <w:lang w:val="en-US"/>
        </w:rPr>
      </w:pPr>
      <w:r w:rsidRPr="00E75D02">
        <w:rPr>
          <w:lang w:val="en-US"/>
        </w:rPr>
        <w:t>The locator integrates EV charging stations, SkyTrain stations, and transit routes in a hierarchical display, ensuring that users can easily understand spatial relationships between charging infrastructure and public transit connectivity.</w:t>
      </w:r>
    </w:p>
    <w:p w14:paraId="2B312132" w14:textId="692ED736" w:rsidR="00E75D02" w:rsidRDefault="00E75D02" w:rsidP="00E75D02">
      <w:pPr>
        <w:jc w:val="both"/>
        <w:rPr>
          <w:lang w:val="en-US"/>
        </w:rPr>
      </w:pPr>
      <w:r w:rsidRPr="00E75D02">
        <w:rPr>
          <w:lang w:val="en-US"/>
        </w:rPr>
        <w:t xml:space="preserve">Users can </w:t>
      </w:r>
      <w:r w:rsidR="00FE0901">
        <w:rPr>
          <w:lang w:val="en-US"/>
        </w:rPr>
        <w:t xml:space="preserve">also </w:t>
      </w:r>
      <w:r w:rsidRPr="00E75D02">
        <w:rPr>
          <w:lang w:val="en-US"/>
        </w:rPr>
        <w:t>explore all EV charging stations across the region with dynamic tooltips displaying location, operator, and locality information. By combining accessibility with real-time spatial context, the tool reduces uncertainty and supports informed decision-making for EV users.</w:t>
      </w:r>
    </w:p>
    <w:p w14:paraId="7D832461" w14:textId="039FF971" w:rsidR="001850B5" w:rsidRPr="001850B5" w:rsidRDefault="001850B5" w:rsidP="00E75D02">
      <w:pPr>
        <w:jc w:val="both"/>
        <w:rPr>
          <w:b/>
          <w:bCs/>
          <w:lang w:val="en-US"/>
        </w:rPr>
      </w:pPr>
      <w:r w:rsidRPr="001850B5">
        <w:rPr>
          <w:b/>
          <w:bCs/>
          <w:lang w:val="en-US"/>
        </w:rPr>
        <w:t>2. Policymaker’s Dashboard (Analytical Interface)</w:t>
      </w:r>
    </w:p>
    <w:p w14:paraId="2B17987F" w14:textId="21CED692" w:rsidR="001850B5" w:rsidRDefault="001850B5" w:rsidP="00251343">
      <w:pPr>
        <w:jc w:val="both"/>
        <w:rPr>
          <w:lang w:val="en-US"/>
        </w:rPr>
      </w:pPr>
      <w:r w:rsidRPr="001850B5">
        <w:rPr>
          <w:lang w:val="en-US"/>
        </w:rPr>
        <w:t xml:space="preserve">The Policymaker’s Dashboard provides a suite of spatial analysis tools designed to evaluate EV infrastructure distribution, accessibility, and equity across </w:t>
      </w:r>
      <w:r>
        <w:rPr>
          <w:lang w:val="en-US"/>
        </w:rPr>
        <w:t>the City of</w:t>
      </w:r>
      <w:r w:rsidRPr="001850B5">
        <w:rPr>
          <w:lang w:val="en-US"/>
        </w:rPr>
        <w:t xml:space="preserve"> Vancouver. It translates complex geospatial data into clear, actionable insights for </w:t>
      </w:r>
      <w:r>
        <w:rPr>
          <w:lang w:val="en-US"/>
        </w:rPr>
        <w:t>data enthusiast</w:t>
      </w:r>
      <w:r w:rsidR="00FE0901">
        <w:rPr>
          <w:lang w:val="en-US"/>
        </w:rPr>
        <w:t>s</w:t>
      </w:r>
      <w:r>
        <w:rPr>
          <w:lang w:val="en-US"/>
        </w:rPr>
        <w:t xml:space="preserve">, </w:t>
      </w:r>
      <w:r w:rsidRPr="001850B5">
        <w:rPr>
          <w:lang w:val="en-US"/>
        </w:rPr>
        <w:t>plann</w:t>
      </w:r>
      <w:r w:rsidR="00E75D02">
        <w:rPr>
          <w:lang w:val="en-US"/>
        </w:rPr>
        <w:t>ers</w:t>
      </w:r>
      <w:r w:rsidRPr="001850B5">
        <w:rPr>
          <w:lang w:val="en-US"/>
        </w:rPr>
        <w:t xml:space="preserve"> and decision-mak</w:t>
      </w:r>
      <w:r w:rsidR="00E75D02">
        <w:rPr>
          <w:lang w:val="en-US"/>
        </w:rPr>
        <w:t>ers</w:t>
      </w:r>
      <w:r w:rsidRPr="001850B5">
        <w:rPr>
          <w:lang w:val="en-US"/>
        </w:rPr>
        <w:t>.</w:t>
      </w:r>
      <w:r>
        <w:rPr>
          <w:lang w:val="en-US"/>
        </w:rPr>
        <w:t xml:space="preserve"> It consists of the following 3 main components:</w:t>
      </w:r>
    </w:p>
    <w:p w14:paraId="3D5DE1FF" w14:textId="77777777" w:rsidR="001850B5" w:rsidRPr="001850B5" w:rsidRDefault="001850B5" w:rsidP="00251343">
      <w:pPr>
        <w:jc w:val="both"/>
        <w:rPr>
          <w:b/>
          <w:bCs/>
          <w:lang w:val="en-US"/>
        </w:rPr>
      </w:pPr>
      <w:r w:rsidRPr="001850B5">
        <w:rPr>
          <w:b/>
          <w:bCs/>
          <w:lang w:val="en-US"/>
        </w:rPr>
        <w:t>a) EV Infrastructure Gaps</w:t>
      </w:r>
    </w:p>
    <w:p w14:paraId="676D0401" w14:textId="03FA1960" w:rsidR="00E75D02" w:rsidRPr="00E75D02" w:rsidRDefault="00E75D02" w:rsidP="00E75D02">
      <w:pPr>
        <w:jc w:val="both"/>
        <w:rPr>
          <w:lang w:val="en-US"/>
        </w:rPr>
      </w:pPr>
      <w:r w:rsidRPr="00E75D02">
        <w:rPr>
          <w:lang w:val="en-US"/>
        </w:rPr>
        <w:t>This component uses drive-time service area analysis to classify EV charging accessibility into categories such as “1 minute or less,” “3 minutes or less,” and “beyond 3 minutes.”</w:t>
      </w:r>
    </w:p>
    <w:p w14:paraId="0B9B8692" w14:textId="2CAC3252" w:rsidR="00E75D02" w:rsidRPr="00E75D02" w:rsidRDefault="00E75D02" w:rsidP="00E75D02">
      <w:pPr>
        <w:jc w:val="both"/>
        <w:rPr>
          <w:lang w:val="en-US"/>
        </w:rPr>
      </w:pPr>
      <w:r w:rsidRPr="00E75D02">
        <w:rPr>
          <w:lang w:val="en-US"/>
        </w:rPr>
        <w:t>These service areas are integrated with population density data to identify underserved regions where EV access is limited. A bi-variate mapping approach is used to represent both population density and accessibility gaps simultaneously, enabling users to assess not only where infrastructure is lacking, but also where demand is highest.</w:t>
      </w:r>
    </w:p>
    <w:p w14:paraId="307A7A3E" w14:textId="688651B9" w:rsidR="00E75D02" w:rsidRDefault="00E75D02" w:rsidP="00E75D02">
      <w:pPr>
        <w:jc w:val="both"/>
        <w:rPr>
          <w:lang w:val="en-US"/>
        </w:rPr>
      </w:pPr>
      <w:r w:rsidRPr="00E75D02">
        <w:rPr>
          <w:lang w:val="en-US"/>
        </w:rPr>
        <w:t>This analysis highlights “charging deserts” and provides a spatially explicit understanding of equity in infrastructure distribution.</w:t>
      </w:r>
    </w:p>
    <w:p w14:paraId="220156EA" w14:textId="4B4EEF2C" w:rsidR="001850B5" w:rsidRPr="001850B5" w:rsidRDefault="001850B5" w:rsidP="00251343">
      <w:pPr>
        <w:jc w:val="both"/>
        <w:rPr>
          <w:b/>
          <w:bCs/>
          <w:lang w:val="en-US"/>
        </w:rPr>
      </w:pPr>
      <w:r w:rsidRPr="001850B5">
        <w:rPr>
          <w:b/>
          <w:bCs/>
          <w:lang w:val="en-US"/>
        </w:rPr>
        <w:t>b) Fuel Stations vs EV Charging</w:t>
      </w:r>
    </w:p>
    <w:p w14:paraId="03CEC2E4" w14:textId="4F116442" w:rsidR="00E75D02" w:rsidRPr="00E75D02" w:rsidRDefault="00E75D02" w:rsidP="00E75D02">
      <w:pPr>
        <w:jc w:val="both"/>
        <w:rPr>
          <w:lang w:val="en-US"/>
        </w:rPr>
      </w:pPr>
      <w:r w:rsidRPr="00E75D02">
        <w:rPr>
          <w:lang w:val="en-US"/>
        </w:rPr>
        <w:lastRenderedPageBreak/>
        <w:t>This component evaluates the spatial distribution of conventional fuel stations and EV charging infrastructure using kernel density analysis.</w:t>
      </w:r>
    </w:p>
    <w:p w14:paraId="4DEEB92D" w14:textId="52E4C834" w:rsidR="00E75D02" w:rsidRPr="00E75D02" w:rsidRDefault="00E75D02" w:rsidP="00E75D02">
      <w:pPr>
        <w:jc w:val="both"/>
        <w:rPr>
          <w:lang w:val="en-US"/>
        </w:rPr>
      </w:pPr>
      <w:r w:rsidRPr="00E75D02">
        <w:rPr>
          <w:lang w:val="en-US"/>
        </w:rPr>
        <w:t>Density surfaces are generated from buffered station locations and overlaid to visualize differences in infrastructure coverage. An interactive swipe tool allows users to compare fuel and EV density patterns, revealing areas where traditional refueling infrastructure dominates.</w:t>
      </w:r>
    </w:p>
    <w:p w14:paraId="2EBE805F" w14:textId="5A42C877" w:rsidR="00E75D02" w:rsidRPr="001850B5" w:rsidRDefault="00E75D02" w:rsidP="00E75D02">
      <w:pPr>
        <w:jc w:val="both"/>
        <w:rPr>
          <w:lang w:val="en-US"/>
        </w:rPr>
      </w:pPr>
      <w:r w:rsidRPr="00E75D02">
        <w:rPr>
          <w:lang w:val="en-US"/>
        </w:rPr>
        <w:t>These “high-demand gap” areas represent priority zones for EV infrastructure expansion.</w:t>
      </w:r>
    </w:p>
    <w:p w14:paraId="3D74E023" w14:textId="77777777" w:rsidR="001850B5" w:rsidRPr="001850B5" w:rsidRDefault="001850B5" w:rsidP="00251343">
      <w:pPr>
        <w:jc w:val="both"/>
        <w:rPr>
          <w:b/>
          <w:bCs/>
          <w:lang w:val="en-US"/>
        </w:rPr>
      </w:pPr>
      <w:r w:rsidRPr="001850B5">
        <w:rPr>
          <w:b/>
          <w:bCs/>
          <w:lang w:val="en-US"/>
        </w:rPr>
        <w:t>c) EV Accessibility Index</w:t>
      </w:r>
    </w:p>
    <w:p w14:paraId="4A8DF691" w14:textId="7AFEA0A6" w:rsidR="00E75D02" w:rsidRPr="00E75D02" w:rsidRDefault="00E75D02" w:rsidP="00E75D02">
      <w:pPr>
        <w:jc w:val="both"/>
        <w:rPr>
          <w:lang w:val="en-US"/>
        </w:rPr>
      </w:pPr>
      <w:r w:rsidRPr="00E75D02">
        <w:rPr>
          <w:lang w:val="en-US"/>
        </w:rPr>
        <w:t>The EV Accessibility Index is a composite indicator that measures the relative accessibility of EV charging infrastructure compared to fuel stations.</w:t>
      </w:r>
    </w:p>
    <w:p w14:paraId="02684CD9" w14:textId="675B5A4B" w:rsidR="00E75D02" w:rsidRDefault="00E75D02" w:rsidP="00E75D02">
      <w:pPr>
        <w:jc w:val="both"/>
        <w:rPr>
          <w:lang w:val="en-US"/>
        </w:rPr>
      </w:pPr>
      <w:r w:rsidRPr="00E75D02">
        <w:rPr>
          <w:lang w:val="en-US"/>
        </w:rPr>
        <w:t>The index is derived through population-weighted accessibility analysis using drive-time service areas, where accessibility is calculated based on the proportion of population served within each dissemination area.</w:t>
      </w:r>
      <w:r>
        <w:rPr>
          <w:lang w:val="en-US"/>
        </w:rPr>
        <w:t xml:space="preserve"> </w:t>
      </w:r>
      <w:r w:rsidRPr="00E75D02">
        <w:t>The index ranges from 0 to 1</w:t>
      </w:r>
      <w:r w:rsidR="00FE0901">
        <w:t xml:space="preserve"> where</w:t>
      </w:r>
      <w:r w:rsidRPr="00E75D02">
        <w:t>:</w:t>
      </w:r>
    </w:p>
    <w:p w14:paraId="49745C40" w14:textId="7A28A235" w:rsidR="001850B5" w:rsidRPr="00E75D02" w:rsidRDefault="001850B5" w:rsidP="00E75D02">
      <w:pPr>
        <w:numPr>
          <w:ilvl w:val="0"/>
          <w:numId w:val="10"/>
        </w:numPr>
        <w:jc w:val="both"/>
        <w:rPr>
          <w:b/>
          <w:bCs/>
          <w:lang w:val="en-US"/>
        </w:rPr>
      </w:pPr>
      <w:r w:rsidRPr="001850B5">
        <w:rPr>
          <w:b/>
          <w:bCs/>
          <w:lang w:val="en-US"/>
        </w:rPr>
        <w:t>1.0</w:t>
      </w:r>
      <w:r w:rsidRPr="00E75D02">
        <w:rPr>
          <w:b/>
          <w:bCs/>
          <w:lang w:val="en-US"/>
        </w:rPr>
        <w:t xml:space="preserve"> </w:t>
      </w:r>
      <w:r w:rsidR="00FE0901">
        <w:rPr>
          <w:lang w:val="en-US"/>
        </w:rPr>
        <w:t>means</w:t>
      </w:r>
      <w:r w:rsidRPr="00E75D02">
        <w:rPr>
          <w:lang w:val="en-US"/>
        </w:rPr>
        <w:t xml:space="preserve"> EV infrastructure is more accessible than fuel stations</w:t>
      </w:r>
      <w:r w:rsidRPr="00E75D02">
        <w:rPr>
          <w:b/>
          <w:bCs/>
          <w:lang w:val="en-US"/>
        </w:rPr>
        <w:t xml:space="preserve"> </w:t>
      </w:r>
    </w:p>
    <w:p w14:paraId="1003E1AA" w14:textId="083CFA70" w:rsidR="001850B5" w:rsidRPr="001850B5" w:rsidRDefault="001850B5" w:rsidP="00251343">
      <w:pPr>
        <w:numPr>
          <w:ilvl w:val="0"/>
          <w:numId w:val="10"/>
        </w:numPr>
        <w:jc w:val="both"/>
        <w:rPr>
          <w:lang w:val="en-US"/>
        </w:rPr>
      </w:pPr>
      <w:r w:rsidRPr="001850B5">
        <w:rPr>
          <w:b/>
          <w:bCs/>
          <w:lang w:val="en-US"/>
        </w:rPr>
        <w:t>0.5</w:t>
      </w:r>
      <w:r w:rsidRPr="001850B5">
        <w:rPr>
          <w:lang w:val="en-US"/>
        </w:rPr>
        <w:t xml:space="preserve"> </w:t>
      </w:r>
      <w:r w:rsidR="00FE0901">
        <w:rPr>
          <w:lang w:val="en-US"/>
        </w:rPr>
        <w:t>means</w:t>
      </w:r>
      <w:r w:rsidRPr="001850B5">
        <w:rPr>
          <w:lang w:val="en-US"/>
        </w:rPr>
        <w:t xml:space="preserve"> </w:t>
      </w:r>
      <w:r w:rsidR="00FE0901">
        <w:rPr>
          <w:lang w:val="en-US"/>
        </w:rPr>
        <w:t>p</w:t>
      </w:r>
      <w:r w:rsidRPr="001850B5">
        <w:rPr>
          <w:lang w:val="en-US"/>
        </w:rPr>
        <w:t xml:space="preserve">arity between EV and fuel access </w:t>
      </w:r>
    </w:p>
    <w:p w14:paraId="7FF4E523" w14:textId="7EA49C2E" w:rsidR="001850B5" w:rsidRPr="001850B5" w:rsidRDefault="001850B5" w:rsidP="00251343">
      <w:pPr>
        <w:numPr>
          <w:ilvl w:val="0"/>
          <w:numId w:val="10"/>
        </w:numPr>
        <w:jc w:val="both"/>
        <w:rPr>
          <w:lang w:val="en-US"/>
        </w:rPr>
      </w:pPr>
      <w:r w:rsidRPr="001850B5">
        <w:rPr>
          <w:b/>
          <w:bCs/>
          <w:lang w:val="en-US"/>
        </w:rPr>
        <w:t>0.0</w:t>
      </w:r>
      <w:r w:rsidRPr="001850B5">
        <w:rPr>
          <w:lang w:val="en-US"/>
        </w:rPr>
        <w:t xml:space="preserve"> </w:t>
      </w:r>
      <w:r w:rsidR="00FE0901">
        <w:rPr>
          <w:lang w:val="en-US"/>
        </w:rPr>
        <w:t xml:space="preserve">means the location is an </w:t>
      </w:r>
      <w:r w:rsidRPr="001850B5">
        <w:rPr>
          <w:lang w:val="en-US"/>
        </w:rPr>
        <w:t xml:space="preserve">EV charging desert (fuel-only access) </w:t>
      </w:r>
    </w:p>
    <w:p w14:paraId="71075A43" w14:textId="77777777" w:rsidR="001850B5" w:rsidRPr="001850B5" w:rsidRDefault="001850B5" w:rsidP="00251343">
      <w:pPr>
        <w:jc w:val="both"/>
        <w:rPr>
          <w:lang w:val="en-US"/>
        </w:rPr>
      </w:pPr>
      <w:r w:rsidRPr="001850B5">
        <w:rPr>
          <w:lang w:val="en-US"/>
        </w:rPr>
        <w:t>This standardized metric enables users to evaluate infrastructure readiness across different geographic areas and provides a clear benchmark for tracking progress toward sustainable transportation goals.</w:t>
      </w:r>
    </w:p>
    <w:p w14:paraId="024A5697" w14:textId="77777777" w:rsidR="001850B5" w:rsidRPr="001850B5" w:rsidRDefault="001850B5" w:rsidP="001850B5">
      <w:pPr>
        <w:rPr>
          <w:lang w:val="en-US"/>
        </w:rPr>
      </w:pPr>
    </w:p>
    <w:p w14:paraId="7DCAFF32" w14:textId="77777777" w:rsidR="001850B5" w:rsidRPr="001850B5" w:rsidRDefault="001850B5" w:rsidP="001850B5">
      <w:pPr>
        <w:rPr>
          <w:lang w:val="en-US"/>
        </w:rPr>
      </w:pPr>
    </w:p>
    <w:p w14:paraId="4D2388DD" w14:textId="0CE9AFA1" w:rsidR="006117DF" w:rsidRPr="005C27D6" w:rsidRDefault="006117DF" w:rsidP="005C27D6"/>
    <w:sectPr w:rsidR="006117DF" w:rsidRPr="005C27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A73"/>
    <w:multiLevelType w:val="multilevel"/>
    <w:tmpl w:val="03926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F4CE8"/>
    <w:multiLevelType w:val="multilevel"/>
    <w:tmpl w:val="454C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048F0"/>
    <w:multiLevelType w:val="multilevel"/>
    <w:tmpl w:val="A898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155C7"/>
    <w:multiLevelType w:val="multilevel"/>
    <w:tmpl w:val="09544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F33736"/>
    <w:multiLevelType w:val="multilevel"/>
    <w:tmpl w:val="C23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8A02B8"/>
    <w:multiLevelType w:val="multilevel"/>
    <w:tmpl w:val="11DA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CF259A"/>
    <w:multiLevelType w:val="multilevel"/>
    <w:tmpl w:val="5B68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93FE1"/>
    <w:multiLevelType w:val="multilevel"/>
    <w:tmpl w:val="C30C1E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7B5C0A"/>
    <w:multiLevelType w:val="multilevel"/>
    <w:tmpl w:val="5106B0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FE0689"/>
    <w:multiLevelType w:val="multilevel"/>
    <w:tmpl w:val="B080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996795">
    <w:abstractNumId w:val="3"/>
  </w:num>
  <w:num w:numId="2" w16cid:durableId="1715620321">
    <w:abstractNumId w:val="1"/>
  </w:num>
  <w:num w:numId="3" w16cid:durableId="1079907716">
    <w:abstractNumId w:val="0"/>
    <w:lvlOverride w:ilvl="0">
      <w:lvl w:ilvl="0">
        <w:numFmt w:val="decimal"/>
        <w:lvlText w:val="%1."/>
        <w:lvlJc w:val="left"/>
      </w:lvl>
    </w:lvlOverride>
  </w:num>
  <w:num w:numId="4" w16cid:durableId="551959992">
    <w:abstractNumId w:val="9"/>
  </w:num>
  <w:num w:numId="5" w16cid:durableId="125969380">
    <w:abstractNumId w:val="8"/>
    <w:lvlOverride w:ilvl="0">
      <w:lvl w:ilvl="0">
        <w:numFmt w:val="decimal"/>
        <w:lvlText w:val="%1."/>
        <w:lvlJc w:val="left"/>
      </w:lvl>
    </w:lvlOverride>
  </w:num>
  <w:num w:numId="6" w16cid:durableId="627971859">
    <w:abstractNumId w:val="4"/>
  </w:num>
  <w:num w:numId="7" w16cid:durableId="1015503386">
    <w:abstractNumId w:val="7"/>
    <w:lvlOverride w:ilvl="0">
      <w:lvl w:ilvl="0">
        <w:numFmt w:val="decimal"/>
        <w:lvlText w:val="%1."/>
        <w:lvlJc w:val="left"/>
      </w:lvl>
    </w:lvlOverride>
  </w:num>
  <w:num w:numId="8" w16cid:durableId="475414590">
    <w:abstractNumId w:val="5"/>
  </w:num>
  <w:num w:numId="9" w16cid:durableId="906765159">
    <w:abstractNumId w:val="2"/>
  </w:num>
  <w:num w:numId="10" w16cid:durableId="1731031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DF"/>
    <w:rsid w:val="00067717"/>
    <w:rsid w:val="001850B5"/>
    <w:rsid w:val="00234DC1"/>
    <w:rsid w:val="00251343"/>
    <w:rsid w:val="002E13C5"/>
    <w:rsid w:val="003059C7"/>
    <w:rsid w:val="00321B4D"/>
    <w:rsid w:val="003C69B4"/>
    <w:rsid w:val="004A3D3D"/>
    <w:rsid w:val="005C27D6"/>
    <w:rsid w:val="006117DF"/>
    <w:rsid w:val="00644309"/>
    <w:rsid w:val="008C6843"/>
    <w:rsid w:val="00A07D73"/>
    <w:rsid w:val="00C849CC"/>
    <w:rsid w:val="00D235C8"/>
    <w:rsid w:val="00D3327F"/>
    <w:rsid w:val="00E75D02"/>
    <w:rsid w:val="00F20CA9"/>
    <w:rsid w:val="00F45166"/>
    <w:rsid w:val="00F57BF4"/>
    <w:rsid w:val="00FE09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DC07"/>
  <w15:chartTrackingRefBased/>
  <w15:docId w15:val="{D7D74055-DEE8-47E5-9EDF-D3AA956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7DF"/>
    <w:rPr>
      <w:rFonts w:eastAsiaTheme="majorEastAsia" w:cstheme="majorBidi"/>
      <w:color w:val="272727" w:themeColor="text1" w:themeTint="D8"/>
    </w:rPr>
  </w:style>
  <w:style w:type="paragraph" w:styleId="Title">
    <w:name w:val="Title"/>
    <w:basedOn w:val="Normal"/>
    <w:next w:val="Normal"/>
    <w:link w:val="TitleChar"/>
    <w:uiPriority w:val="10"/>
    <w:qFormat/>
    <w:rsid w:val="00611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7DF"/>
    <w:pPr>
      <w:spacing w:before="160"/>
      <w:jc w:val="center"/>
    </w:pPr>
    <w:rPr>
      <w:i/>
      <w:iCs/>
      <w:color w:val="404040" w:themeColor="text1" w:themeTint="BF"/>
    </w:rPr>
  </w:style>
  <w:style w:type="character" w:customStyle="1" w:styleId="QuoteChar">
    <w:name w:val="Quote Char"/>
    <w:basedOn w:val="DefaultParagraphFont"/>
    <w:link w:val="Quote"/>
    <w:uiPriority w:val="29"/>
    <w:rsid w:val="006117DF"/>
    <w:rPr>
      <w:i/>
      <w:iCs/>
      <w:color w:val="404040" w:themeColor="text1" w:themeTint="BF"/>
    </w:rPr>
  </w:style>
  <w:style w:type="paragraph" w:styleId="ListParagraph">
    <w:name w:val="List Paragraph"/>
    <w:basedOn w:val="Normal"/>
    <w:uiPriority w:val="34"/>
    <w:qFormat/>
    <w:rsid w:val="006117DF"/>
    <w:pPr>
      <w:ind w:left="720"/>
      <w:contextualSpacing/>
    </w:pPr>
  </w:style>
  <w:style w:type="character" w:styleId="IntenseEmphasis">
    <w:name w:val="Intense Emphasis"/>
    <w:basedOn w:val="DefaultParagraphFont"/>
    <w:uiPriority w:val="21"/>
    <w:qFormat/>
    <w:rsid w:val="006117DF"/>
    <w:rPr>
      <w:i/>
      <w:iCs/>
      <w:color w:val="0F4761" w:themeColor="accent1" w:themeShade="BF"/>
    </w:rPr>
  </w:style>
  <w:style w:type="paragraph" w:styleId="IntenseQuote">
    <w:name w:val="Intense Quote"/>
    <w:basedOn w:val="Normal"/>
    <w:next w:val="Normal"/>
    <w:link w:val="IntenseQuoteChar"/>
    <w:uiPriority w:val="30"/>
    <w:qFormat/>
    <w:rsid w:val="00611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7DF"/>
    <w:rPr>
      <w:i/>
      <w:iCs/>
      <w:color w:val="0F4761" w:themeColor="accent1" w:themeShade="BF"/>
    </w:rPr>
  </w:style>
  <w:style w:type="character" w:styleId="IntenseReference">
    <w:name w:val="Intense Reference"/>
    <w:basedOn w:val="DefaultParagraphFont"/>
    <w:uiPriority w:val="32"/>
    <w:qFormat/>
    <w:rsid w:val="006117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95860">
      <w:bodyDiv w:val="1"/>
      <w:marLeft w:val="0"/>
      <w:marRight w:val="0"/>
      <w:marTop w:val="0"/>
      <w:marBottom w:val="0"/>
      <w:divBdr>
        <w:top w:val="none" w:sz="0" w:space="0" w:color="auto"/>
        <w:left w:val="none" w:sz="0" w:space="0" w:color="auto"/>
        <w:bottom w:val="none" w:sz="0" w:space="0" w:color="auto"/>
        <w:right w:val="none" w:sz="0" w:space="0" w:color="auto"/>
      </w:divBdr>
      <w:divsChild>
        <w:div w:id="160958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737857">
      <w:bodyDiv w:val="1"/>
      <w:marLeft w:val="0"/>
      <w:marRight w:val="0"/>
      <w:marTop w:val="0"/>
      <w:marBottom w:val="0"/>
      <w:divBdr>
        <w:top w:val="none" w:sz="0" w:space="0" w:color="auto"/>
        <w:left w:val="none" w:sz="0" w:space="0" w:color="auto"/>
        <w:bottom w:val="none" w:sz="0" w:space="0" w:color="auto"/>
        <w:right w:val="none" w:sz="0" w:space="0" w:color="auto"/>
      </w:divBdr>
    </w:div>
    <w:div w:id="407382537">
      <w:bodyDiv w:val="1"/>
      <w:marLeft w:val="0"/>
      <w:marRight w:val="0"/>
      <w:marTop w:val="0"/>
      <w:marBottom w:val="0"/>
      <w:divBdr>
        <w:top w:val="none" w:sz="0" w:space="0" w:color="auto"/>
        <w:left w:val="none" w:sz="0" w:space="0" w:color="auto"/>
        <w:bottom w:val="none" w:sz="0" w:space="0" w:color="auto"/>
        <w:right w:val="none" w:sz="0" w:space="0" w:color="auto"/>
      </w:divBdr>
    </w:div>
    <w:div w:id="735663783">
      <w:bodyDiv w:val="1"/>
      <w:marLeft w:val="0"/>
      <w:marRight w:val="0"/>
      <w:marTop w:val="0"/>
      <w:marBottom w:val="0"/>
      <w:divBdr>
        <w:top w:val="none" w:sz="0" w:space="0" w:color="auto"/>
        <w:left w:val="none" w:sz="0" w:space="0" w:color="auto"/>
        <w:bottom w:val="none" w:sz="0" w:space="0" w:color="auto"/>
        <w:right w:val="none" w:sz="0" w:space="0" w:color="auto"/>
      </w:divBdr>
    </w:div>
    <w:div w:id="775057400">
      <w:bodyDiv w:val="1"/>
      <w:marLeft w:val="0"/>
      <w:marRight w:val="0"/>
      <w:marTop w:val="0"/>
      <w:marBottom w:val="0"/>
      <w:divBdr>
        <w:top w:val="none" w:sz="0" w:space="0" w:color="auto"/>
        <w:left w:val="none" w:sz="0" w:space="0" w:color="auto"/>
        <w:bottom w:val="none" w:sz="0" w:space="0" w:color="auto"/>
        <w:right w:val="none" w:sz="0" w:space="0" w:color="auto"/>
      </w:divBdr>
      <w:divsChild>
        <w:div w:id="1215771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963162">
      <w:bodyDiv w:val="1"/>
      <w:marLeft w:val="0"/>
      <w:marRight w:val="0"/>
      <w:marTop w:val="0"/>
      <w:marBottom w:val="0"/>
      <w:divBdr>
        <w:top w:val="none" w:sz="0" w:space="0" w:color="auto"/>
        <w:left w:val="none" w:sz="0" w:space="0" w:color="auto"/>
        <w:bottom w:val="none" w:sz="0" w:space="0" w:color="auto"/>
        <w:right w:val="none" w:sz="0" w:space="0" w:color="auto"/>
      </w:divBdr>
    </w:div>
    <w:div w:id="1029717127">
      <w:bodyDiv w:val="1"/>
      <w:marLeft w:val="0"/>
      <w:marRight w:val="0"/>
      <w:marTop w:val="0"/>
      <w:marBottom w:val="0"/>
      <w:divBdr>
        <w:top w:val="none" w:sz="0" w:space="0" w:color="auto"/>
        <w:left w:val="none" w:sz="0" w:space="0" w:color="auto"/>
        <w:bottom w:val="none" w:sz="0" w:space="0" w:color="auto"/>
        <w:right w:val="none" w:sz="0" w:space="0" w:color="auto"/>
      </w:divBdr>
    </w:div>
    <w:div w:id="1036976521">
      <w:bodyDiv w:val="1"/>
      <w:marLeft w:val="0"/>
      <w:marRight w:val="0"/>
      <w:marTop w:val="0"/>
      <w:marBottom w:val="0"/>
      <w:divBdr>
        <w:top w:val="none" w:sz="0" w:space="0" w:color="auto"/>
        <w:left w:val="none" w:sz="0" w:space="0" w:color="auto"/>
        <w:bottom w:val="none" w:sz="0" w:space="0" w:color="auto"/>
        <w:right w:val="none" w:sz="0" w:space="0" w:color="auto"/>
      </w:divBdr>
    </w:div>
    <w:div w:id="1150249245">
      <w:bodyDiv w:val="1"/>
      <w:marLeft w:val="0"/>
      <w:marRight w:val="0"/>
      <w:marTop w:val="0"/>
      <w:marBottom w:val="0"/>
      <w:divBdr>
        <w:top w:val="none" w:sz="0" w:space="0" w:color="auto"/>
        <w:left w:val="none" w:sz="0" w:space="0" w:color="auto"/>
        <w:bottom w:val="none" w:sz="0" w:space="0" w:color="auto"/>
        <w:right w:val="none" w:sz="0" w:space="0" w:color="auto"/>
      </w:divBdr>
    </w:div>
    <w:div w:id="1205019283">
      <w:bodyDiv w:val="1"/>
      <w:marLeft w:val="0"/>
      <w:marRight w:val="0"/>
      <w:marTop w:val="0"/>
      <w:marBottom w:val="0"/>
      <w:divBdr>
        <w:top w:val="none" w:sz="0" w:space="0" w:color="auto"/>
        <w:left w:val="none" w:sz="0" w:space="0" w:color="auto"/>
        <w:bottom w:val="none" w:sz="0" w:space="0" w:color="auto"/>
        <w:right w:val="none" w:sz="0" w:space="0" w:color="auto"/>
      </w:divBdr>
    </w:div>
    <w:div w:id="1281179227">
      <w:bodyDiv w:val="1"/>
      <w:marLeft w:val="0"/>
      <w:marRight w:val="0"/>
      <w:marTop w:val="0"/>
      <w:marBottom w:val="0"/>
      <w:divBdr>
        <w:top w:val="none" w:sz="0" w:space="0" w:color="auto"/>
        <w:left w:val="none" w:sz="0" w:space="0" w:color="auto"/>
        <w:bottom w:val="none" w:sz="0" w:space="0" w:color="auto"/>
        <w:right w:val="none" w:sz="0" w:space="0" w:color="auto"/>
      </w:divBdr>
      <w:divsChild>
        <w:div w:id="65642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948578">
      <w:bodyDiv w:val="1"/>
      <w:marLeft w:val="0"/>
      <w:marRight w:val="0"/>
      <w:marTop w:val="0"/>
      <w:marBottom w:val="0"/>
      <w:divBdr>
        <w:top w:val="none" w:sz="0" w:space="0" w:color="auto"/>
        <w:left w:val="none" w:sz="0" w:space="0" w:color="auto"/>
        <w:bottom w:val="none" w:sz="0" w:space="0" w:color="auto"/>
        <w:right w:val="none" w:sz="0" w:space="0" w:color="auto"/>
      </w:divBdr>
      <w:divsChild>
        <w:div w:id="1122068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020429">
      <w:bodyDiv w:val="1"/>
      <w:marLeft w:val="0"/>
      <w:marRight w:val="0"/>
      <w:marTop w:val="0"/>
      <w:marBottom w:val="0"/>
      <w:divBdr>
        <w:top w:val="none" w:sz="0" w:space="0" w:color="auto"/>
        <w:left w:val="none" w:sz="0" w:space="0" w:color="auto"/>
        <w:bottom w:val="none" w:sz="0" w:space="0" w:color="auto"/>
        <w:right w:val="none" w:sz="0" w:space="0" w:color="auto"/>
      </w:divBdr>
    </w:div>
    <w:div w:id="1379282193">
      <w:bodyDiv w:val="1"/>
      <w:marLeft w:val="0"/>
      <w:marRight w:val="0"/>
      <w:marTop w:val="0"/>
      <w:marBottom w:val="0"/>
      <w:divBdr>
        <w:top w:val="none" w:sz="0" w:space="0" w:color="auto"/>
        <w:left w:val="none" w:sz="0" w:space="0" w:color="auto"/>
        <w:bottom w:val="none" w:sz="0" w:space="0" w:color="auto"/>
        <w:right w:val="none" w:sz="0" w:space="0" w:color="auto"/>
      </w:divBdr>
    </w:div>
    <w:div w:id="1439452412">
      <w:bodyDiv w:val="1"/>
      <w:marLeft w:val="0"/>
      <w:marRight w:val="0"/>
      <w:marTop w:val="0"/>
      <w:marBottom w:val="0"/>
      <w:divBdr>
        <w:top w:val="none" w:sz="0" w:space="0" w:color="auto"/>
        <w:left w:val="none" w:sz="0" w:space="0" w:color="auto"/>
        <w:bottom w:val="none" w:sz="0" w:space="0" w:color="auto"/>
        <w:right w:val="none" w:sz="0" w:space="0" w:color="auto"/>
      </w:divBdr>
    </w:div>
    <w:div w:id="1519347279">
      <w:bodyDiv w:val="1"/>
      <w:marLeft w:val="0"/>
      <w:marRight w:val="0"/>
      <w:marTop w:val="0"/>
      <w:marBottom w:val="0"/>
      <w:divBdr>
        <w:top w:val="none" w:sz="0" w:space="0" w:color="auto"/>
        <w:left w:val="none" w:sz="0" w:space="0" w:color="auto"/>
        <w:bottom w:val="none" w:sz="0" w:space="0" w:color="auto"/>
        <w:right w:val="none" w:sz="0" w:space="0" w:color="auto"/>
      </w:divBdr>
      <w:divsChild>
        <w:div w:id="342174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680024">
      <w:bodyDiv w:val="1"/>
      <w:marLeft w:val="0"/>
      <w:marRight w:val="0"/>
      <w:marTop w:val="0"/>
      <w:marBottom w:val="0"/>
      <w:divBdr>
        <w:top w:val="none" w:sz="0" w:space="0" w:color="auto"/>
        <w:left w:val="none" w:sz="0" w:space="0" w:color="auto"/>
        <w:bottom w:val="none" w:sz="0" w:space="0" w:color="auto"/>
        <w:right w:val="none" w:sz="0" w:space="0" w:color="auto"/>
      </w:divBdr>
    </w:div>
    <w:div w:id="1677876732">
      <w:bodyDiv w:val="1"/>
      <w:marLeft w:val="0"/>
      <w:marRight w:val="0"/>
      <w:marTop w:val="0"/>
      <w:marBottom w:val="0"/>
      <w:divBdr>
        <w:top w:val="none" w:sz="0" w:space="0" w:color="auto"/>
        <w:left w:val="none" w:sz="0" w:space="0" w:color="auto"/>
        <w:bottom w:val="none" w:sz="0" w:space="0" w:color="auto"/>
        <w:right w:val="none" w:sz="0" w:space="0" w:color="auto"/>
      </w:divBdr>
    </w:div>
    <w:div w:id="1680304225">
      <w:bodyDiv w:val="1"/>
      <w:marLeft w:val="0"/>
      <w:marRight w:val="0"/>
      <w:marTop w:val="0"/>
      <w:marBottom w:val="0"/>
      <w:divBdr>
        <w:top w:val="none" w:sz="0" w:space="0" w:color="auto"/>
        <w:left w:val="none" w:sz="0" w:space="0" w:color="auto"/>
        <w:bottom w:val="none" w:sz="0" w:space="0" w:color="auto"/>
        <w:right w:val="none" w:sz="0" w:space="0" w:color="auto"/>
      </w:divBdr>
    </w:div>
    <w:div w:id="206113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Neumann</dc:creator>
  <cp:keywords/>
  <dc:description/>
  <cp:lastModifiedBy>Sreekanth Satheesh</cp:lastModifiedBy>
  <cp:revision>8</cp:revision>
  <dcterms:created xsi:type="dcterms:W3CDTF">2025-03-31T17:12:00Z</dcterms:created>
  <dcterms:modified xsi:type="dcterms:W3CDTF">2026-03-30T01:20:00Z</dcterms:modified>
</cp:coreProperties>
</file>